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84" w:type="dxa"/>
        <w:tblLook w:val="00A0" w:firstRow="1" w:lastRow="0" w:firstColumn="1" w:lastColumn="0" w:noHBand="0" w:noVBand="0"/>
      </w:tblPr>
      <w:tblGrid>
        <w:gridCol w:w="2044"/>
        <w:gridCol w:w="2680"/>
        <w:gridCol w:w="2676"/>
        <w:gridCol w:w="1672"/>
      </w:tblGrid>
      <w:tr w:rsidR="000D0F6A" w:rsidRPr="00987C78" w:rsidTr="001C7371">
        <w:tc>
          <w:tcPr>
            <w:tcW w:w="2044" w:type="dxa"/>
            <w:vAlign w:val="center"/>
          </w:tcPr>
          <w:p w:rsidR="000D0F6A" w:rsidRPr="005F4220" w:rsidRDefault="000D0F6A" w:rsidP="001C7371">
            <w:pPr>
              <w:snapToGrid w:val="0"/>
              <w:spacing w:after="0" w:line="24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  <w:noProof/>
                <w:lang w:eastAsia="fr-FR"/>
              </w:rPr>
              <w:drawing>
                <wp:inline distT="0" distB="0" distL="0" distR="0" wp14:anchorId="4EA6FE7E" wp14:editId="777E014F">
                  <wp:extent cx="814705" cy="1028700"/>
                  <wp:effectExtent l="0" t="0" r="444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70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0" w:type="dxa"/>
            <w:vAlign w:val="center"/>
          </w:tcPr>
          <w:p w:rsidR="000D0F6A" w:rsidRPr="00987C78" w:rsidRDefault="00F73204" w:rsidP="001C7371">
            <w:pPr>
              <w:spacing w:after="0" w:line="240" w:lineRule="auto"/>
              <w:jc w:val="both"/>
              <w:rPr>
                <w:rFonts w:ascii="Corbel" w:hAnsi="Corbel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3805363A" wp14:editId="3AFE12BB">
                  <wp:simplePos x="0" y="0"/>
                  <wp:positionH relativeFrom="margin">
                    <wp:posOffset>-224790</wp:posOffset>
                  </wp:positionH>
                  <wp:positionV relativeFrom="margin">
                    <wp:posOffset>59690</wp:posOffset>
                  </wp:positionV>
                  <wp:extent cx="1564640" cy="739140"/>
                  <wp:effectExtent l="0" t="0" r="0" b="3810"/>
                  <wp:wrapNone/>
                  <wp:docPr id="2" name="Image 2" descr="logo_lf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_lf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640" cy="739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6" w:type="dxa"/>
            <w:vAlign w:val="center"/>
          </w:tcPr>
          <w:p w:rsidR="000D0F6A" w:rsidRPr="00987C78" w:rsidRDefault="000D0F6A" w:rsidP="001C7371">
            <w:pPr>
              <w:spacing w:after="0" w:line="240" w:lineRule="auto"/>
              <w:jc w:val="both"/>
              <w:rPr>
                <w:rFonts w:ascii="Corbel" w:hAnsi="Corbel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40216A99" wp14:editId="5D03412D">
                  <wp:simplePos x="0" y="0"/>
                  <wp:positionH relativeFrom="margin">
                    <wp:posOffset>-207010</wp:posOffset>
                  </wp:positionH>
                  <wp:positionV relativeFrom="margin">
                    <wp:posOffset>-52705</wp:posOffset>
                  </wp:positionV>
                  <wp:extent cx="1555115" cy="771525"/>
                  <wp:effectExtent l="0" t="0" r="6985" b="9525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11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2" w:type="dxa"/>
            <w:vAlign w:val="center"/>
          </w:tcPr>
          <w:p w:rsidR="000D0F6A" w:rsidRPr="00987C78" w:rsidRDefault="000D0F6A" w:rsidP="001C7371">
            <w:pPr>
              <w:spacing w:after="0" w:line="24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  <w:noProof/>
                <w:lang w:eastAsia="fr-FR"/>
              </w:rPr>
              <w:drawing>
                <wp:anchor distT="0" distB="0" distL="114300" distR="114300" simplePos="0" relativeHeight="251661312" behindDoc="1" locked="0" layoutInCell="1" allowOverlap="1" wp14:anchorId="60E85421" wp14:editId="4BF06EB3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-156210</wp:posOffset>
                  </wp:positionV>
                  <wp:extent cx="1276350" cy="798830"/>
                  <wp:effectExtent l="0" t="0" r="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vec-baseline_rvb_couleurs_udaf_haute-vienne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53" t="15814" r="11374" b="12127"/>
                          <a:stretch/>
                        </pic:blipFill>
                        <pic:spPr bwMode="auto">
                          <a:xfrm>
                            <a:off x="0" y="0"/>
                            <a:ext cx="1276350" cy="798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D0F6A" w:rsidRPr="00EA477D" w:rsidRDefault="000D0F6A" w:rsidP="000D0F6A">
      <w:pPr>
        <w:pStyle w:val="StyleTitre111ptGauche0cmPremireligne0cm"/>
        <w:tabs>
          <w:tab w:val="clear" w:pos="360"/>
        </w:tabs>
        <w:spacing w:before="0" w:after="0"/>
        <w:jc w:val="both"/>
        <w:rPr>
          <w:rFonts w:ascii="Corbel" w:hAnsi="Corbel"/>
          <w:sz w:val="20"/>
          <w:szCs w:val="22"/>
        </w:rPr>
      </w:pPr>
    </w:p>
    <w:p w:rsidR="000D0F6A" w:rsidRPr="002A71F5" w:rsidRDefault="000D0F6A" w:rsidP="000D0F6A">
      <w:pPr>
        <w:pStyle w:val="StyleTitre111ptGauche0cmPremireligne0cm"/>
        <w:tabs>
          <w:tab w:val="clear" w:pos="360"/>
        </w:tabs>
        <w:spacing w:before="0" w:after="0"/>
        <w:ind w:left="360"/>
        <w:jc w:val="center"/>
        <w:rPr>
          <w:rFonts w:ascii="Corbel" w:hAnsi="Corbel"/>
          <w:sz w:val="36"/>
          <w:szCs w:val="22"/>
        </w:rPr>
      </w:pPr>
      <w:r w:rsidRPr="002A71F5">
        <w:rPr>
          <w:rFonts w:ascii="Corbel" w:hAnsi="Corbel"/>
          <w:sz w:val="36"/>
          <w:szCs w:val="22"/>
        </w:rPr>
        <w:t>LECTURES DE CITOYENS</w:t>
      </w:r>
    </w:p>
    <w:p w:rsidR="000D0F6A" w:rsidRDefault="000D0F6A" w:rsidP="000D0F6A">
      <w:pPr>
        <w:pStyle w:val="StyleTitre111ptGauche0cmPremireligne0cm"/>
        <w:tabs>
          <w:tab w:val="clear" w:pos="360"/>
        </w:tabs>
        <w:spacing w:before="0" w:after="0"/>
        <w:ind w:left="360"/>
        <w:jc w:val="center"/>
        <w:rPr>
          <w:rFonts w:ascii="Corbel" w:hAnsi="Corbel"/>
          <w:sz w:val="36"/>
        </w:rPr>
      </w:pPr>
      <w:r>
        <w:rPr>
          <w:rFonts w:ascii="Corbel" w:hAnsi="Corbel"/>
          <w:sz w:val="36"/>
        </w:rPr>
        <w:t>Le développement durable</w:t>
      </w:r>
    </w:p>
    <w:p w:rsidR="003356EB" w:rsidRDefault="003356EB"/>
    <w:p w:rsidR="000D0F6A" w:rsidRDefault="000D0F6A" w:rsidP="000D0F6A">
      <w:pPr>
        <w:jc w:val="center"/>
        <w:rPr>
          <w:sz w:val="32"/>
          <w:u w:val="single"/>
        </w:rPr>
      </w:pPr>
      <w:r w:rsidRPr="000D0F6A">
        <w:rPr>
          <w:sz w:val="32"/>
          <w:u w:val="single"/>
        </w:rPr>
        <w:t>Liste des défis proposés</w:t>
      </w:r>
    </w:p>
    <w:p w:rsidR="002D7FE9" w:rsidRPr="002D7FE9" w:rsidRDefault="002D7FE9" w:rsidP="000D0F6A">
      <w:pPr>
        <w:jc w:val="center"/>
        <w:rPr>
          <w:sz w:val="12"/>
          <w:u w:val="single"/>
        </w:rPr>
      </w:pPr>
    </w:p>
    <w:p w:rsidR="002D7FE9" w:rsidRDefault="002D7FE9" w:rsidP="00FB6C13">
      <w:pPr>
        <w:spacing w:after="0" w:line="240" w:lineRule="auto"/>
        <w:jc w:val="both"/>
      </w:pPr>
      <w:r w:rsidRPr="002D7FE9">
        <w:t xml:space="preserve">Vous devez choisir </w:t>
      </w:r>
      <w:r w:rsidR="0054684D">
        <w:t>plusieurs</w:t>
      </w:r>
      <w:r w:rsidRPr="002D7FE9">
        <w:t xml:space="preserve"> défis parmi ceux proposés</w:t>
      </w:r>
      <w:r w:rsidR="0054684D">
        <w:t xml:space="preserve"> (nous déterminerons ensemble si nous devons fixer un nombre)</w:t>
      </w:r>
      <w:r w:rsidRPr="002D7FE9">
        <w:t>. Si vous souhaitez mettre en place un défi qui n’est pas proposé, vous pouvez nous le soumettre.</w:t>
      </w:r>
      <w:r>
        <w:t xml:space="preserve"> </w:t>
      </w:r>
      <w:r w:rsidRPr="002D7FE9">
        <w:t>Nous pouvons vous proposer un accompagnement</w:t>
      </w:r>
      <w:r>
        <w:t xml:space="preserve"> ou vous aider à trouver des intervenants</w:t>
      </w:r>
      <w:r w:rsidRPr="002D7FE9">
        <w:t xml:space="preserve"> pour certains défis, n’hésitez pas à revenir vers vous. </w:t>
      </w:r>
    </w:p>
    <w:p w:rsidR="002D7FE9" w:rsidRPr="002D7FE9" w:rsidRDefault="002D7FE9" w:rsidP="00FB6C13">
      <w:pPr>
        <w:spacing w:after="0" w:line="240" w:lineRule="auto"/>
        <w:jc w:val="both"/>
        <w:rPr>
          <w:sz w:val="20"/>
        </w:rPr>
      </w:pPr>
    </w:p>
    <w:p w:rsidR="002D7FE9" w:rsidRPr="002D7FE9" w:rsidRDefault="002D7FE9" w:rsidP="00FB6C13">
      <w:pPr>
        <w:spacing w:after="0" w:line="240" w:lineRule="auto"/>
        <w:jc w:val="both"/>
        <w:rPr>
          <w:b/>
        </w:rPr>
      </w:pPr>
      <w:r w:rsidRPr="002D7FE9">
        <w:rPr>
          <w:b/>
        </w:rPr>
        <w:t>Date limite pour le choix des défis et demander l’accompagnement : 29 novembre 2019</w:t>
      </w:r>
    </w:p>
    <w:p w:rsidR="000D0F6A" w:rsidRPr="002D7FE9" w:rsidRDefault="000D0F6A" w:rsidP="00FB6C13">
      <w:pPr>
        <w:jc w:val="both"/>
        <w:rPr>
          <w:sz w:val="20"/>
          <w:u w:val="single"/>
        </w:rPr>
      </w:pPr>
    </w:p>
    <w:p w:rsidR="002D7FE9" w:rsidRPr="000D0F6A" w:rsidRDefault="000D0F6A" w:rsidP="00FB6C13">
      <w:pPr>
        <w:spacing w:after="0" w:line="276" w:lineRule="auto"/>
        <w:jc w:val="both"/>
      </w:pPr>
      <w:r w:rsidRPr="002D7FE9">
        <w:rPr>
          <w:b/>
        </w:rPr>
        <w:t>Défi 1</w:t>
      </w:r>
      <w:r w:rsidRPr="000D0F6A">
        <w:t> : apprendre à trier les déchets : installer des bacs de tri</w:t>
      </w:r>
    </w:p>
    <w:p w:rsidR="002D7FE9" w:rsidRPr="000D0F6A" w:rsidRDefault="000D0F6A" w:rsidP="00FB6C13">
      <w:pPr>
        <w:spacing w:after="0" w:line="276" w:lineRule="auto"/>
        <w:jc w:val="both"/>
      </w:pPr>
      <w:r w:rsidRPr="002D7FE9">
        <w:rPr>
          <w:b/>
        </w:rPr>
        <w:t>Défi 2</w:t>
      </w:r>
      <w:r w:rsidRPr="000D0F6A">
        <w:t xml:space="preserve"> : organiser un </w:t>
      </w:r>
      <w:proofErr w:type="spellStart"/>
      <w:r w:rsidRPr="000D0F6A">
        <w:t>Work</w:t>
      </w:r>
      <w:proofErr w:type="spellEnd"/>
      <w:r w:rsidRPr="000D0F6A">
        <w:t xml:space="preserve"> Clean Up </w:t>
      </w:r>
      <w:proofErr w:type="spellStart"/>
      <w:r w:rsidRPr="000D0F6A">
        <w:t>day</w:t>
      </w:r>
      <w:proofErr w:type="spellEnd"/>
      <w:r w:rsidRPr="000D0F6A">
        <w:t xml:space="preserve"> (nettoyage citoyen organisé – sensibilisation à l’importance du ramassage des déchets) </w:t>
      </w:r>
    </w:p>
    <w:p w:rsidR="002D7FE9" w:rsidRPr="000D0F6A" w:rsidRDefault="000D0F6A" w:rsidP="00FB6C13">
      <w:pPr>
        <w:spacing w:after="0" w:line="276" w:lineRule="auto"/>
        <w:jc w:val="both"/>
      </w:pPr>
      <w:r w:rsidRPr="002D7FE9">
        <w:rPr>
          <w:b/>
        </w:rPr>
        <w:t>Défi 3</w:t>
      </w:r>
      <w:r w:rsidRPr="000D0F6A">
        <w:t> : balades en campagne et sensibilisation à la biodiversité (rencontres avec</w:t>
      </w:r>
      <w:r w:rsidR="002D7FE9">
        <w:t xml:space="preserve"> des associations de préservatio</w:t>
      </w:r>
      <w:r w:rsidRPr="000D0F6A">
        <w:t xml:space="preserve">n de l’environnement – </w:t>
      </w:r>
      <w:r w:rsidRPr="000D0F6A">
        <w:rPr>
          <w:i/>
        </w:rPr>
        <w:t>Terres de Cabanes</w:t>
      </w:r>
      <w:r w:rsidRPr="000D0F6A">
        <w:t xml:space="preserve">, </w:t>
      </w:r>
      <w:r w:rsidRPr="000D0F6A">
        <w:rPr>
          <w:i/>
        </w:rPr>
        <w:t>Les P’tites mains pour demain</w:t>
      </w:r>
      <w:r w:rsidRPr="000D0F6A">
        <w:t xml:space="preserve">, </w:t>
      </w:r>
      <w:r w:rsidRPr="000D0F6A">
        <w:rPr>
          <w:i/>
        </w:rPr>
        <w:t>les Coquelicots</w:t>
      </w:r>
      <w:r w:rsidRPr="000D0F6A">
        <w:t>…)</w:t>
      </w:r>
    </w:p>
    <w:p w:rsidR="002D7FE9" w:rsidRPr="000D0F6A" w:rsidRDefault="000D0F6A" w:rsidP="00FB6C13">
      <w:pPr>
        <w:spacing w:after="0" w:line="276" w:lineRule="auto"/>
        <w:jc w:val="both"/>
      </w:pPr>
      <w:r w:rsidRPr="002D7FE9">
        <w:rPr>
          <w:b/>
        </w:rPr>
        <w:t>Défi 4</w:t>
      </w:r>
      <w:r w:rsidRPr="000D0F6A">
        <w:t> : création d’un petit potager ou d’un jardin partagé</w:t>
      </w:r>
      <w:r w:rsidR="0054684D">
        <w:t xml:space="preserve"> (quelques jardinières ou un carré potager peut suffire)</w:t>
      </w:r>
    </w:p>
    <w:p w:rsidR="002D7FE9" w:rsidRPr="000D0F6A" w:rsidRDefault="000D0F6A" w:rsidP="00FB6C13">
      <w:pPr>
        <w:spacing w:after="0" w:line="276" w:lineRule="auto"/>
        <w:jc w:val="both"/>
      </w:pPr>
      <w:r w:rsidRPr="002D7FE9">
        <w:rPr>
          <w:b/>
        </w:rPr>
        <w:t>Défi 5</w:t>
      </w:r>
      <w:r w:rsidRPr="000D0F6A">
        <w:t> : installation et/ou fabrication d’un composteur</w:t>
      </w:r>
    </w:p>
    <w:p w:rsidR="002D7FE9" w:rsidRPr="000D0F6A" w:rsidRDefault="000D0F6A" w:rsidP="00FB6C13">
      <w:pPr>
        <w:spacing w:after="0" w:line="276" w:lineRule="auto"/>
        <w:jc w:val="both"/>
      </w:pPr>
      <w:r w:rsidRPr="002D7FE9">
        <w:rPr>
          <w:b/>
        </w:rPr>
        <w:t>Défi 6</w:t>
      </w:r>
      <w:r w:rsidRPr="000D0F6A">
        <w:t> : création d’un hôtel à insectes</w:t>
      </w:r>
    </w:p>
    <w:p w:rsidR="002D7FE9" w:rsidRPr="000D0F6A" w:rsidRDefault="000D0F6A" w:rsidP="00FB6C13">
      <w:pPr>
        <w:spacing w:after="0" w:line="276" w:lineRule="auto"/>
        <w:jc w:val="both"/>
      </w:pPr>
      <w:r w:rsidRPr="002D7FE9">
        <w:rPr>
          <w:b/>
        </w:rPr>
        <w:t>Défi 7</w:t>
      </w:r>
      <w:r w:rsidRPr="000D0F6A">
        <w:t> : création d’œuvres d’art avec des objets recyclés (bouteilles, canettes, palettes…)</w:t>
      </w:r>
    </w:p>
    <w:p w:rsidR="002D7FE9" w:rsidRPr="000D0F6A" w:rsidRDefault="000D0F6A" w:rsidP="00FB6C13">
      <w:pPr>
        <w:spacing w:after="0" w:line="276" w:lineRule="auto"/>
        <w:jc w:val="both"/>
      </w:pPr>
      <w:r w:rsidRPr="002D7FE9">
        <w:rPr>
          <w:b/>
        </w:rPr>
        <w:t>Défi 8</w:t>
      </w:r>
      <w:r w:rsidRPr="000D0F6A">
        <w:t> : Visite d’une épicerie « vrac »</w:t>
      </w:r>
    </w:p>
    <w:p w:rsidR="002D7FE9" w:rsidRPr="000D0F6A" w:rsidRDefault="000D0F6A" w:rsidP="00FB6C13">
      <w:pPr>
        <w:spacing w:after="0" w:line="276" w:lineRule="auto"/>
        <w:jc w:val="both"/>
      </w:pPr>
      <w:r w:rsidRPr="002D7FE9">
        <w:rPr>
          <w:b/>
        </w:rPr>
        <w:t>Défi 9</w:t>
      </w:r>
      <w:r w:rsidRPr="000D0F6A">
        <w:t> : Rencontres avec des associations locales de sensibilisation au développement durable</w:t>
      </w:r>
    </w:p>
    <w:p w:rsidR="002D7FE9" w:rsidRPr="000D0F6A" w:rsidRDefault="000D0F6A" w:rsidP="00FB6C13">
      <w:pPr>
        <w:spacing w:after="0" w:line="276" w:lineRule="auto"/>
        <w:jc w:val="both"/>
      </w:pPr>
      <w:r w:rsidRPr="002D7FE9">
        <w:rPr>
          <w:b/>
        </w:rPr>
        <w:t>Défi 10</w:t>
      </w:r>
      <w:r w:rsidRPr="000D0F6A">
        <w:t> : Organiser un troc de jouet ou de vêtements dans le quartier/structure</w:t>
      </w:r>
    </w:p>
    <w:p w:rsidR="002D7FE9" w:rsidRPr="000D0F6A" w:rsidRDefault="000D0F6A" w:rsidP="00FB6C13">
      <w:pPr>
        <w:spacing w:after="0" w:line="276" w:lineRule="auto"/>
        <w:jc w:val="both"/>
      </w:pPr>
      <w:r w:rsidRPr="002D7FE9">
        <w:rPr>
          <w:b/>
        </w:rPr>
        <w:t>Défi 11</w:t>
      </w:r>
      <w:r w:rsidRPr="000D0F6A">
        <w:t xml:space="preserve"> : Accueillir un bénévole de Lire et faire lire pour les lectures </w:t>
      </w:r>
      <w:r w:rsidR="00F73204">
        <w:t xml:space="preserve">– </w:t>
      </w:r>
      <w:r w:rsidR="0054684D">
        <w:t xml:space="preserve">création d’un </w:t>
      </w:r>
      <w:r w:rsidR="00F73204">
        <w:t>lien intergénérationnel</w:t>
      </w:r>
    </w:p>
    <w:p w:rsidR="002D7FE9" w:rsidRPr="000D0F6A" w:rsidRDefault="000D0F6A" w:rsidP="00FB6C13">
      <w:pPr>
        <w:spacing w:after="0" w:line="276" w:lineRule="auto"/>
        <w:jc w:val="both"/>
      </w:pPr>
      <w:r w:rsidRPr="002D7FE9">
        <w:rPr>
          <w:b/>
        </w:rPr>
        <w:t>Défi 12</w:t>
      </w:r>
      <w:r w:rsidRPr="000D0F6A">
        <w:t xml:space="preserve"> : Fabriquer </w:t>
      </w:r>
      <w:r w:rsidR="0054684D">
        <w:t>des produits naturels de type savon, bougie…</w:t>
      </w:r>
    </w:p>
    <w:p w:rsidR="002D7FE9" w:rsidRPr="000D0F6A" w:rsidRDefault="000D0F6A" w:rsidP="00FB6C13">
      <w:pPr>
        <w:spacing w:after="0" w:line="276" w:lineRule="auto"/>
        <w:jc w:val="both"/>
      </w:pPr>
      <w:r w:rsidRPr="002D7FE9">
        <w:rPr>
          <w:b/>
        </w:rPr>
        <w:t>Défi 13</w:t>
      </w:r>
      <w:r w:rsidRPr="000D0F6A">
        <w:t> : Visiter une épicerie solidaire</w:t>
      </w:r>
    </w:p>
    <w:p w:rsidR="000D0F6A" w:rsidRPr="000D0F6A" w:rsidRDefault="000D0F6A" w:rsidP="00FB6C13">
      <w:pPr>
        <w:spacing w:after="0" w:line="276" w:lineRule="auto"/>
        <w:jc w:val="both"/>
      </w:pPr>
      <w:r w:rsidRPr="002D7FE9">
        <w:rPr>
          <w:b/>
        </w:rPr>
        <w:t>Défi 14</w:t>
      </w:r>
      <w:r w:rsidRPr="000D0F6A">
        <w:t> : Réduire les déchets de la structure – enregistrer une diminution des déchets sur la période</w:t>
      </w:r>
    </w:p>
    <w:p w:rsidR="002D7FE9" w:rsidRPr="000D0F6A" w:rsidRDefault="000D0F6A" w:rsidP="00FB6C13">
      <w:pPr>
        <w:spacing w:after="0" w:line="276" w:lineRule="auto"/>
        <w:jc w:val="both"/>
      </w:pPr>
      <w:r w:rsidRPr="002D7FE9">
        <w:rPr>
          <w:b/>
        </w:rPr>
        <w:t>Défi 15</w:t>
      </w:r>
      <w:r w:rsidRPr="000D0F6A">
        <w:t> : Découverte des abeilles et de l’intérêt pour la planète – confection de craies grasses ou bougies</w:t>
      </w:r>
      <w:r w:rsidR="00F73204">
        <w:t xml:space="preserve"> avec Miel de </w:t>
      </w:r>
      <w:proofErr w:type="spellStart"/>
      <w:r w:rsidR="00F73204">
        <w:t>Junat</w:t>
      </w:r>
      <w:proofErr w:type="spellEnd"/>
    </w:p>
    <w:p w:rsidR="000D0F6A" w:rsidRPr="000D0F6A" w:rsidRDefault="000D0F6A" w:rsidP="00FB6C13">
      <w:pPr>
        <w:spacing w:after="0" w:line="276" w:lineRule="auto"/>
        <w:jc w:val="both"/>
      </w:pPr>
      <w:r w:rsidRPr="002D7FE9">
        <w:rPr>
          <w:b/>
        </w:rPr>
        <w:t>Défi 16</w:t>
      </w:r>
      <w:r w:rsidRPr="000D0F6A">
        <w:t> : Sensibilisation aux bons gestes éco-citoyens (penser à éteindre la lumière quand on n’est pas dans une pièce, fermer le robinet quand on se lave les dents, privilégier les transports en commun…)</w:t>
      </w:r>
    </w:p>
    <w:p w:rsidR="002D7FE9" w:rsidRPr="000D0F6A" w:rsidRDefault="000D0F6A" w:rsidP="00FB6C13">
      <w:pPr>
        <w:spacing w:after="0" w:line="276" w:lineRule="auto"/>
        <w:jc w:val="both"/>
      </w:pPr>
      <w:r w:rsidRPr="002D7FE9">
        <w:rPr>
          <w:b/>
        </w:rPr>
        <w:t>Défi 17</w:t>
      </w:r>
      <w:r w:rsidRPr="000D0F6A">
        <w:t> : Redécouverte des légumes (privilégier le local, le bio, de saison)</w:t>
      </w:r>
    </w:p>
    <w:p w:rsidR="002D7FE9" w:rsidRPr="000D0F6A" w:rsidRDefault="000D0F6A" w:rsidP="00FB6C13">
      <w:pPr>
        <w:spacing w:after="0" w:line="276" w:lineRule="auto"/>
        <w:jc w:val="both"/>
      </w:pPr>
      <w:r w:rsidRPr="002D7FE9">
        <w:rPr>
          <w:b/>
        </w:rPr>
        <w:t>Défi 18</w:t>
      </w:r>
      <w:r w:rsidRPr="000D0F6A">
        <w:t> : Initiation à la météorologie pour comprendre les phénomènes de plus en plus récurent (canicule, vents forts, inondations…)</w:t>
      </w:r>
    </w:p>
    <w:p w:rsidR="002D7FE9" w:rsidRPr="000D0F6A" w:rsidRDefault="000D0F6A" w:rsidP="00FB6C13">
      <w:pPr>
        <w:spacing w:after="0" w:line="276" w:lineRule="auto"/>
        <w:jc w:val="both"/>
      </w:pPr>
      <w:r w:rsidRPr="002D7FE9">
        <w:rPr>
          <w:b/>
        </w:rPr>
        <w:t>Défi 19</w:t>
      </w:r>
      <w:r w:rsidRPr="000D0F6A">
        <w:t xml:space="preserve"> : Comprendre le traitement des déchets – visite d’une déchèterie </w:t>
      </w:r>
    </w:p>
    <w:p w:rsidR="000D0F6A" w:rsidRDefault="000D0F6A" w:rsidP="00FB6C13">
      <w:pPr>
        <w:spacing w:after="0" w:line="276" w:lineRule="auto"/>
        <w:jc w:val="both"/>
      </w:pPr>
      <w:r w:rsidRPr="002D7FE9">
        <w:rPr>
          <w:b/>
        </w:rPr>
        <w:t>Défi 20</w:t>
      </w:r>
      <w:r w:rsidRPr="000D0F6A">
        <w:t> : Visiter une ferme pédagogique</w:t>
      </w:r>
    </w:p>
    <w:p w:rsidR="00FB6C13" w:rsidRPr="00AC721B" w:rsidRDefault="00FB6C13" w:rsidP="00FB6C13">
      <w:pPr>
        <w:spacing w:after="0" w:line="276" w:lineRule="auto"/>
        <w:jc w:val="center"/>
        <w:rPr>
          <w:sz w:val="28"/>
        </w:rPr>
      </w:pPr>
      <w:r w:rsidRPr="00AC721B">
        <w:rPr>
          <w:sz w:val="28"/>
        </w:rPr>
        <w:t>…</w:t>
      </w:r>
      <w:bookmarkStart w:id="0" w:name="_GoBack"/>
      <w:bookmarkEnd w:id="0"/>
    </w:p>
    <w:sectPr w:rsidR="00FB6C13" w:rsidRPr="00AC721B" w:rsidSect="00FB6C1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6A"/>
    <w:rsid w:val="000047E9"/>
    <w:rsid w:val="000D0F6A"/>
    <w:rsid w:val="002D7FE9"/>
    <w:rsid w:val="003356EB"/>
    <w:rsid w:val="0054684D"/>
    <w:rsid w:val="00AC721B"/>
    <w:rsid w:val="00F73204"/>
    <w:rsid w:val="00FB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7FF50-CD67-4946-9FC6-58E9F57A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F6A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0D0F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Titre111ptGauche0cmPremireligne0cm">
    <w:name w:val="Style Titre 1 + 11 pt Gauche :  0 cm Première ligne : 0 cm"/>
    <w:basedOn w:val="Titre1"/>
    <w:uiPriority w:val="99"/>
    <w:rsid w:val="000D0F6A"/>
    <w:pPr>
      <w:keepLines w:val="0"/>
      <w:tabs>
        <w:tab w:val="num" w:pos="360"/>
      </w:tabs>
      <w:suppressAutoHyphens/>
      <w:spacing w:after="60" w:line="240" w:lineRule="auto"/>
    </w:pPr>
    <w:rPr>
      <w:rFonts w:ascii="Arial" w:eastAsia="Times New Roman" w:hAnsi="Arial" w:cs="Times New Roman"/>
      <w:b/>
      <w:bCs/>
      <w:color w:val="auto"/>
      <w:kern w:val="22"/>
      <w:sz w:val="22"/>
      <w:szCs w:val="20"/>
      <w:lang w:eastAsia="ar-SA"/>
    </w:rPr>
  </w:style>
  <w:style w:type="character" w:customStyle="1" w:styleId="Titre1Car">
    <w:name w:val="Titre 1 Car"/>
    <w:basedOn w:val="Policepardfaut"/>
    <w:link w:val="Titre1"/>
    <w:uiPriority w:val="9"/>
    <w:rsid w:val="000D0F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UDAF 87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TRICARD Johanna</dc:creator>
  <cp:keywords/>
  <dc:description/>
  <cp:lastModifiedBy>TRICARD Johanna</cp:lastModifiedBy>
  <cp:revision>5</cp:revision>
  <dcterms:created xsi:type="dcterms:W3CDTF">2019-07-18T07:34:00Z</dcterms:created>
  <dcterms:modified xsi:type="dcterms:W3CDTF">2019-08-14T08:33:00Z</dcterms:modified>
</cp:coreProperties>
</file>